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F20" w14:textId="5B26EBBA" w:rsidR="00281537" w:rsidRDefault="0076299D">
      <w:pPr>
        <w:pBdr>
          <w:bottom w:val="single" w:sz="8" w:space="8" w:color="C8A000"/>
        </w:pBdr>
        <w:jc w:val="center"/>
      </w:pP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Paper Two Mock - Question </w:t>
      </w:r>
      <w:r w:rsidR="00376DE8">
        <w:rPr>
          <w:rFonts w:ascii="Arial" w:eastAsia="Arial" w:hAnsi="Arial" w:cs="Arial"/>
          <w:b/>
          <w:bCs/>
          <w:color w:val="1A1A1A"/>
          <w:sz w:val="44"/>
          <w:szCs w:val="44"/>
        </w:rPr>
        <w:t>Four</w:t>
      </w:r>
      <w:r>
        <w:rPr>
          <w:rFonts w:ascii="Arial" w:eastAsia="Arial" w:hAnsi="Arial" w:cs="Arial"/>
          <w:b/>
          <w:bCs/>
          <w:color w:val="1A1A1A"/>
          <w:sz w:val="44"/>
          <w:szCs w:val="44"/>
        </w:rPr>
        <w:t xml:space="preserve"> Support</w:t>
      </w:r>
    </w:p>
    <w:p w14:paraId="0E9AE510" w14:textId="77777777" w:rsidR="00281537" w:rsidRDefault="00281537">
      <w:pPr>
        <w:spacing w:before="240"/>
      </w:pPr>
    </w:p>
    <w:tbl>
      <w:tblPr>
        <w:tblW w:w="1010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2"/>
        <w:gridCol w:w="2927"/>
      </w:tblGrid>
      <w:tr w:rsidR="00281537" w14:paraId="597D5BA0" w14:textId="77777777" w:rsidTr="004225AD">
        <w:tc>
          <w:tcPr>
            <w:tcW w:w="10106" w:type="dxa"/>
            <w:gridSpan w:val="2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67524065" w14:textId="77777777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extract below has </w:t>
            </w: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superscript numbers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next to key phrases. Find the matching number in the key on the right to see which technique is being used.</w:t>
            </w:r>
          </w:p>
        </w:tc>
      </w:tr>
      <w:tr w:rsidR="00281537" w14:paraId="054F3F82" w14:textId="77777777" w:rsidTr="004225AD">
        <w:trPr>
          <w:trHeight w:val="1760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66AA93DC" w14:textId="1592A84B" w:rsidR="00281537" w:rsidRPr="00933AEF" w:rsidRDefault="00933AEF" w:rsidP="00933AEF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Monday dawns a full gale, the seas building to twenty feet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1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and the wind shearing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ominously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2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through the rigging. The sea takes on a grey, marbled look, like bad meat.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pPr w:leftFromText="180" w:rightFromText="180" w:vertAnchor="text" w:tblpY="-455"/>
              <w:tblOverlap w:val="never"/>
              <w:tblW w:w="2708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8"/>
            </w:tblGrid>
            <w:tr w:rsidR="001930B4" w14:paraId="4FC526E8" w14:textId="77777777" w:rsidTr="001930B4">
              <w:trPr>
                <w:trHeight w:val="360"/>
              </w:trPr>
              <w:tc>
                <w:tcPr>
                  <w:tcW w:w="2708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ED801AD" w14:textId="31AD3957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 xml:space="preserve">Opening Paragraph –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Threatening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 xml:space="preserve"> Setting</w:t>
                  </w:r>
                </w:p>
              </w:tc>
            </w:tr>
            <w:tr w:rsidR="001930B4" w14:paraId="20C9E6C2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972830C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91A4B5D" w14:textId="77777777" w:rsidR="001930B4" w:rsidRDefault="001930B4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Statistic</w:t>
                  </w:r>
                </w:p>
              </w:tc>
            </w:tr>
            <w:tr w:rsidR="001930B4" w14:paraId="19FECB27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7CA66E40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7E07BEC" w14:textId="1A4CF654" w:rsidR="001930B4" w:rsidRDefault="001930B4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Adverb</w:t>
                  </w:r>
                </w:p>
              </w:tc>
            </w:tr>
            <w:tr w:rsidR="001930B4" w14:paraId="3458EA42" w14:textId="77777777" w:rsidTr="001930B4">
              <w:trPr>
                <w:trHeight w:val="180"/>
              </w:trPr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EC45668" w14:textId="77777777" w:rsidR="001930B4" w:rsidRDefault="001930B4" w:rsidP="001930B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2D33B950" w14:textId="1AD44232" w:rsidR="001930B4" w:rsidRDefault="001930B4" w:rsidP="001930B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Simile</w:t>
                  </w:r>
                </w:p>
              </w:tc>
            </w:tr>
          </w:tbl>
          <w:p w14:paraId="4CFC477C" w14:textId="77777777" w:rsidR="00281537" w:rsidRDefault="00281537"/>
        </w:tc>
      </w:tr>
      <w:tr w:rsidR="00933AEF" w14:paraId="3DF3AF41" w14:textId="77777777" w:rsidTr="004225AD">
        <w:trPr>
          <w:trHeight w:val="1863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221B8B66" w14:textId="0B5E37C0" w:rsidR="00933AEF" w:rsidRPr="00933AEF" w:rsidRDefault="00933AEF" w:rsidP="00933AEF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At one point the captain says, “Yep, this is where you </w:t>
            </w:r>
            <w:proofErr w:type="spellStart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wanna</w:t>
            </w:r>
            <w:proofErr w:type="spellEnd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be, right in your wheelhouse,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your own little domain —”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1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At that moment a wall of water the size of a house fills the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screen.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2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It’s no bigger than the rest of the waves but it’s solid and foaming and absolutely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vertical.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3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It engulfs the bow, the deck, the wheelhouse, and then blows all the windows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out. The last thing the camera sees is whitewater coming at it like a big wet fist.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W w:w="2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6"/>
            </w:tblGrid>
            <w:tr w:rsidR="001930B4" w14:paraId="5E8C55F6" w14:textId="77777777" w:rsidTr="00A051F4">
              <w:tc>
                <w:tcPr>
                  <w:tcW w:w="2706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6405F14" w14:textId="5BE57141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Middle Paragraph – Dialogue and Disaster</w:t>
                  </w:r>
                </w:p>
              </w:tc>
            </w:tr>
            <w:tr w:rsidR="00933AEF" w14:paraId="492A2A83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310FADEB" w14:textId="22BE8FC3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18FEAA9" w14:textId="3FC65AF8" w:rsidR="00933AEF" w:rsidRDefault="001930B4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Dialogue</w:t>
                  </w:r>
                </w:p>
              </w:tc>
            </w:tr>
            <w:tr w:rsidR="00933AEF" w14:paraId="27934B26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71ADCA9D" w14:textId="5ED706B2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3342DFDF" w14:textId="77777777" w:rsidR="00933AEF" w:rsidRDefault="00933AEF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Metaphor</w:t>
                  </w:r>
                </w:p>
              </w:tc>
            </w:tr>
            <w:tr w:rsidR="00933AEF" w14:paraId="2DFBBBC8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8B6C22D" w14:textId="065C8DA5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76441C39" w14:textId="29328CB4" w:rsidR="00933AEF" w:rsidRDefault="001930B4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Triplet</w:t>
                  </w:r>
                </w:p>
              </w:tc>
            </w:tr>
            <w:tr w:rsidR="00933AEF" w14:paraId="67693354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2D5FB1E9" w14:textId="092EC500" w:rsidR="00933AEF" w:rsidRDefault="001930B4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4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B3911B5" w14:textId="2EF41D4C" w:rsidR="00933AEF" w:rsidRDefault="001930B4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Simile</w:t>
                  </w:r>
                </w:p>
              </w:tc>
            </w:tr>
          </w:tbl>
          <w:p w14:paraId="30BF823A" w14:textId="77777777" w:rsidR="00933AEF" w:rsidRDefault="00933AEF" w:rsidP="00847BC4"/>
        </w:tc>
      </w:tr>
      <w:tr w:rsidR="00933AEF" w14:paraId="78841BEE" w14:textId="77777777" w:rsidTr="004225AD">
        <w:trPr>
          <w:trHeight w:val="1393"/>
        </w:trPr>
        <w:tc>
          <w:tcPr>
            <w:tcW w:w="718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1FDBC1D1" w14:textId="616E886F" w:rsidR="00933AEF" w:rsidRPr="00933AEF" w:rsidRDefault="00933AEF" w:rsidP="00847BC4">
            <w:pPr>
              <w:spacing w:after="100"/>
              <w:rPr>
                <w:rFonts w:ascii="Arial" w:eastAsia="Arial" w:hAnsi="Arial" w:cs="Arial"/>
                <w:color w:val="1A1A1A"/>
                <w:sz w:val="22"/>
                <w:szCs w:val="22"/>
              </w:rPr>
            </w:pP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In a sense Billy’s no longer at the helm, the conditions are, and all he can do is react.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If danger can be seen in terms of a narrowing range of choices, Billy’s choices have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just ratcheted</w:t>
            </w:r>
            <w:r w:rsidR="001930B4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2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down a notch. A week </w:t>
            </w:r>
            <w:proofErr w:type="gramStart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ago</w:t>
            </w:r>
            <w:proofErr w:type="gramEnd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he could have headed in early. A day </w:t>
            </w:r>
            <w:proofErr w:type="gramStart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ago</w:t>
            </w:r>
            <w:proofErr w:type="gramEnd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he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could have run north. An hour </w:t>
            </w:r>
            <w:proofErr w:type="gramStart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ago</w:t>
            </w:r>
            <w:proofErr w:type="gramEnd"/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1930B4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3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he could have radioed to see if there were any other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P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>vessels around.</w:t>
            </w:r>
          </w:p>
        </w:tc>
        <w:tc>
          <w:tcPr>
            <w:tcW w:w="29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tbl>
            <w:tblPr>
              <w:tblW w:w="2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6"/>
            </w:tblGrid>
            <w:tr w:rsidR="001930B4" w14:paraId="15895ACF" w14:textId="77777777" w:rsidTr="004D676D">
              <w:tc>
                <w:tcPr>
                  <w:tcW w:w="2706" w:type="dxa"/>
                  <w:gridSpan w:val="2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6" w:space="0" w:color="CCBB66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75DD38B" w14:textId="1A43DFD7" w:rsidR="001930B4" w:rsidRDefault="001930B4" w:rsidP="001930B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Final Paragraph – The End of Billy?</w:t>
                  </w:r>
                </w:p>
              </w:tc>
            </w:tr>
            <w:tr w:rsidR="00933AEF" w14:paraId="19B73F3F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4A006EA" w14:textId="77777777" w:rsidR="00933AEF" w:rsidRDefault="00933AEF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A3621B0" w14:textId="241703DE" w:rsidR="00933AEF" w:rsidRDefault="001930B4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Declarative</w:t>
                  </w:r>
                </w:p>
              </w:tc>
            </w:tr>
            <w:tr w:rsidR="00933AEF" w14:paraId="4BCD5371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D32918E" w14:textId="03E23924" w:rsidR="00933AEF" w:rsidRDefault="004225AD" w:rsidP="00847BC4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4806E6B4" w14:textId="76B3B0F0" w:rsidR="00933AEF" w:rsidRDefault="001930B4" w:rsidP="00847BC4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Violent Verb</w:t>
                  </w:r>
                </w:p>
              </w:tc>
            </w:tr>
            <w:tr w:rsidR="00933AEF" w14:paraId="029E5A97" w14:textId="77777777" w:rsidTr="00847BC4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2E64A0F9" w14:textId="38D8C82C" w:rsidR="00933AEF" w:rsidRDefault="004225AD" w:rsidP="00847BC4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658035D7" w14:textId="2678FDEE" w:rsidR="00933AEF" w:rsidRDefault="001930B4" w:rsidP="00847BC4">
                  <w:pP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Repetition</w:t>
                  </w:r>
                </w:p>
              </w:tc>
            </w:tr>
          </w:tbl>
          <w:p w14:paraId="25BDAC34" w14:textId="77777777" w:rsidR="00933AEF" w:rsidRDefault="00933AEF" w:rsidP="00847BC4"/>
        </w:tc>
      </w:tr>
    </w:tbl>
    <w:p w14:paraId="36FE653D" w14:textId="77777777" w:rsidR="00933AEF" w:rsidRDefault="00933AEF">
      <w:pPr>
        <w:spacing w:before="280"/>
      </w:pPr>
    </w:p>
    <w:tbl>
      <w:tblPr>
        <w:tblW w:w="1019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884"/>
        <w:gridCol w:w="6378"/>
      </w:tblGrid>
      <w:tr w:rsidR="00281537" w14:paraId="636B19E0" w14:textId="77777777" w:rsidTr="004225AD">
        <w:tc>
          <w:tcPr>
            <w:tcW w:w="934" w:type="dxa"/>
            <w:tcBorders>
              <w:top w:val="single" w:sz="8" w:space="0" w:color="4A5E20"/>
              <w:left w:val="single" w:sz="8" w:space="0" w:color="4A5E20"/>
              <w:bottom w:val="single" w:sz="8" w:space="0" w:color="4A5E20"/>
              <w:right w:val="single" w:sz="8" w:space="0" w:color="4A5E20"/>
            </w:tcBorders>
            <w:shd w:val="clear" w:color="auto" w:fill="4A5E2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78DE64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PETEL</w:t>
            </w:r>
          </w:p>
        </w:tc>
        <w:tc>
          <w:tcPr>
            <w:tcW w:w="288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88B15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it is</w:t>
            </w:r>
          </w:p>
        </w:tc>
        <w:tc>
          <w:tcPr>
            <w:tcW w:w="6378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58FC558E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Example paragraph — sentence by sentence</w:t>
            </w:r>
          </w:p>
        </w:tc>
      </w:tr>
      <w:tr w:rsidR="00281537" w14:paraId="55530DA1" w14:textId="77777777" w:rsidTr="004225AD">
        <w:trPr>
          <w:trHeight w:val="244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ECC98CB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P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4E7F33" w14:textId="7B0491AD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Point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 xml:space="preserve">What is the </w:t>
            </w:r>
            <w:r w:rsidR="008814BC">
              <w:rPr>
                <w:rFonts w:ascii="Arial" w:eastAsia="Arial" w:hAnsi="Arial" w:cs="Arial"/>
                <w:i/>
                <w:iCs/>
                <w:color w:val="555555"/>
              </w:rPr>
              <w:t>writer focusing on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 xml:space="preserve"> at this point?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72772F" w14:textId="20E8E6AD" w:rsidR="00281537" w:rsidRDefault="008814BC">
            <w:r w:rsidRPr="008814BC">
              <w:rPr>
                <w:rFonts w:ascii="Arial" w:eastAsia="Arial" w:hAnsi="Arial" w:cs="Arial"/>
                <w:color w:val="1A1A1A"/>
                <w:sz w:val="22"/>
                <w:szCs w:val="22"/>
              </w:rPr>
              <w:t>At the end of the text, the writer shifts the focus to time running out</w:t>
            </w:r>
            <w:r w:rsidR="00933AEF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for Billy and his boat.</w:t>
            </w:r>
          </w:p>
        </w:tc>
      </w:tr>
      <w:tr w:rsidR="00281537" w14:paraId="6E9DDD3A" w14:textId="77777777" w:rsidTr="004225AD">
        <w:trPr>
          <w:trHeight w:val="316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E3EC53C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DD39C6" w14:textId="6F8F20BF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Evidence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Quote — use speech marks!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FE1CA6" w14:textId="5D62AA07" w:rsidR="00281537" w:rsidRDefault="008814BC">
            <w:r w:rsidRPr="008814BC"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uses the structure "A week ago... A day ago... An hour ago."</w:t>
            </w:r>
          </w:p>
        </w:tc>
      </w:tr>
      <w:tr w:rsidR="00281537" w14:paraId="687C2756" w14:textId="77777777" w:rsidTr="004225AD"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393CDA81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T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183A11" w14:textId="11873B0A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Technique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Name the method used.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78630A" w14:textId="33675B6B" w:rsidR="00281537" w:rsidRDefault="008814BC">
            <w:r w:rsidRPr="008814BC">
              <w:rPr>
                <w:rFonts w:ascii="Arial" w:eastAsia="Arial" w:hAnsi="Arial" w:cs="Arial"/>
                <w:color w:val="1A1A1A"/>
                <w:sz w:val="22"/>
                <w:szCs w:val="22"/>
              </w:rPr>
              <w:t>The writer's use of repetition is effective because it creates a countdown that builds tension.</w:t>
            </w:r>
          </w:p>
        </w:tc>
      </w:tr>
      <w:tr w:rsidR="00281537" w14:paraId="0B7BD58B" w14:textId="77777777" w:rsidTr="004225AD">
        <w:trPr>
          <w:trHeight w:val="20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7DFDEAA0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8C56A4" w14:textId="5B5EB44D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Effect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does the reader think / feel / understand?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E4D2E7" w14:textId="7AFD9685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reader </w:t>
            </w:r>
            <w:r w:rsidR="008814BC">
              <w:rPr>
                <w:rFonts w:ascii="Arial" w:eastAsia="Arial" w:hAnsi="Arial" w:cs="Arial"/>
                <w:color w:val="1A1A1A"/>
                <w:sz w:val="22"/>
                <w:szCs w:val="22"/>
              </w:rPr>
              <w:t>feels scared for Billy because the situation seems hopeless and he has run out of options for finding help.</w:t>
            </w:r>
          </w:p>
        </w:tc>
      </w:tr>
      <w:tr w:rsidR="00281537" w14:paraId="7E89CCFA" w14:textId="77777777" w:rsidTr="004225AD">
        <w:trPr>
          <w:trHeight w:val="266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8BBDF02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L</w:t>
            </w:r>
          </w:p>
        </w:tc>
        <w:tc>
          <w:tcPr>
            <w:tcW w:w="2884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9049EB" w14:textId="1575225E" w:rsidR="00281537" w:rsidRDefault="00000000" w:rsidP="004225AD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Link</w:t>
            </w:r>
            <w:r w:rsidR="004225AD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is the writer trying to show?</w:t>
            </w:r>
          </w:p>
        </w:tc>
        <w:tc>
          <w:tcPr>
            <w:tcW w:w="6378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70A57E" w14:textId="2014137C" w:rsidR="00281537" w:rsidRDefault="008814BC">
            <w:r w:rsidRPr="008814BC">
              <w:rPr>
                <w:rFonts w:ascii="Arial" w:eastAsia="Arial" w:hAnsi="Arial" w:cs="Arial"/>
                <w:color w:val="1A1A1A"/>
                <w:sz w:val="22"/>
                <w:szCs w:val="22"/>
              </w:rPr>
              <w:t>At this point, the writer's intention is to make the reader feel that Billy is about to die — the countdown is almost over.</w:t>
            </w:r>
          </w:p>
        </w:tc>
      </w:tr>
    </w:tbl>
    <w:p w14:paraId="60D066AF" w14:textId="77777777" w:rsidR="008814BC" w:rsidRDefault="008814BC" w:rsidP="004225AD"/>
    <w:sectPr w:rsidR="008814BC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F66"/>
    <w:multiLevelType w:val="hybridMultilevel"/>
    <w:tmpl w:val="8EB88D14"/>
    <w:lvl w:ilvl="0" w:tplc="AC04A96C">
      <w:start w:val="1"/>
      <w:numFmt w:val="bullet"/>
      <w:lvlText w:val="●"/>
      <w:lvlJc w:val="left"/>
      <w:pPr>
        <w:ind w:left="720" w:hanging="360"/>
      </w:pPr>
    </w:lvl>
    <w:lvl w:ilvl="1" w:tplc="2DDA5094">
      <w:start w:val="1"/>
      <w:numFmt w:val="bullet"/>
      <w:lvlText w:val="○"/>
      <w:lvlJc w:val="left"/>
      <w:pPr>
        <w:ind w:left="1440" w:hanging="360"/>
      </w:pPr>
    </w:lvl>
    <w:lvl w:ilvl="2" w:tplc="AE08001C">
      <w:start w:val="1"/>
      <w:numFmt w:val="bullet"/>
      <w:lvlText w:val="■"/>
      <w:lvlJc w:val="left"/>
      <w:pPr>
        <w:ind w:left="2160" w:hanging="360"/>
      </w:pPr>
    </w:lvl>
    <w:lvl w:ilvl="3" w:tplc="900A31A6">
      <w:start w:val="1"/>
      <w:numFmt w:val="bullet"/>
      <w:lvlText w:val="●"/>
      <w:lvlJc w:val="left"/>
      <w:pPr>
        <w:ind w:left="2880" w:hanging="360"/>
      </w:pPr>
    </w:lvl>
    <w:lvl w:ilvl="4" w:tplc="3E385E16">
      <w:start w:val="1"/>
      <w:numFmt w:val="bullet"/>
      <w:lvlText w:val="○"/>
      <w:lvlJc w:val="left"/>
      <w:pPr>
        <w:ind w:left="3600" w:hanging="360"/>
      </w:pPr>
    </w:lvl>
    <w:lvl w:ilvl="5" w:tplc="FEE66B1A">
      <w:start w:val="1"/>
      <w:numFmt w:val="bullet"/>
      <w:lvlText w:val="■"/>
      <w:lvlJc w:val="left"/>
      <w:pPr>
        <w:ind w:left="4320" w:hanging="360"/>
      </w:pPr>
    </w:lvl>
    <w:lvl w:ilvl="6" w:tplc="488EE81C">
      <w:start w:val="1"/>
      <w:numFmt w:val="bullet"/>
      <w:lvlText w:val="●"/>
      <w:lvlJc w:val="left"/>
      <w:pPr>
        <w:ind w:left="5040" w:hanging="360"/>
      </w:pPr>
    </w:lvl>
    <w:lvl w:ilvl="7" w:tplc="146A9BBC">
      <w:start w:val="1"/>
      <w:numFmt w:val="bullet"/>
      <w:lvlText w:val="●"/>
      <w:lvlJc w:val="left"/>
      <w:pPr>
        <w:ind w:left="5760" w:hanging="360"/>
      </w:pPr>
    </w:lvl>
    <w:lvl w:ilvl="8" w:tplc="1BA86652">
      <w:start w:val="1"/>
      <w:numFmt w:val="bullet"/>
      <w:lvlText w:val="●"/>
      <w:lvlJc w:val="left"/>
      <w:pPr>
        <w:ind w:left="6480" w:hanging="360"/>
      </w:pPr>
    </w:lvl>
  </w:abstractNum>
  <w:num w:numId="1" w16cid:durableId="1230268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7"/>
    <w:rsid w:val="001930B4"/>
    <w:rsid w:val="00281537"/>
    <w:rsid w:val="00376DE8"/>
    <w:rsid w:val="004225AD"/>
    <w:rsid w:val="00574068"/>
    <w:rsid w:val="0076299D"/>
    <w:rsid w:val="008814BC"/>
    <w:rsid w:val="00933AEF"/>
    <w:rsid w:val="00ED4829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9658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2026-03-10T20:53:00Z</dcterms:created>
  <dcterms:modified xsi:type="dcterms:W3CDTF">2026-03-10T21:09:00Z</dcterms:modified>
</cp:coreProperties>
</file>